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802"/>
        <w:gridCol w:w="158"/>
        <w:gridCol w:w="4375"/>
        <w:gridCol w:w="10"/>
      </w:tblGrid>
      <w:tr w:rsidR="00DA5162" w:rsidRPr="00910D57" w:rsidTr="00FC5084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576" w:rsidRPr="00A02576" w:rsidRDefault="00636047" w:rsidP="00A0257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A02576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A0257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</w:t>
            </w:r>
            <w:r w:rsidR="00A02576" w:rsidRPr="00A0257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Додаток 1</w:t>
            </w:r>
            <w:r w:rsidR="00A02576" w:rsidRPr="00A0257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="00A02576" w:rsidRPr="00A0257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    </w:t>
            </w:r>
          </w:p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A0257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до рішення сільської</w:t>
            </w:r>
            <w:bookmarkStart w:id="0" w:name="_GoBack"/>
            <w:bookmarkEnd w:id="0"/>
            <w:r w:rsidRPr="00A0257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ради</w:t>
            </w:r>
          </w:p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A0257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№ 278-19/</w:t>
            </w:r>
            <w:r w:rsidRPr="00A0257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VII</w:t>
            </w:r>
          </w:p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A02576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від 9 жовтня 2017 року</w:t>
            </w:r>
          </w:p>
          <w:p w:rsidR="00A02576" w:rsidRPr="00A02576" w:rsidRDefault="00A02576" w:rsidP="00A02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DA5162" w:rsidRPr="00910D57" w:rsidRDefault="00DA5162" w:rsidP="00FC508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DA5162" w:rsidRPr="00910D57" w:rsidRDefault="00DA5162" w:rsidP="00FC508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4D5E23" w:rsidRPr="004D5E23" w:rsidRDefault="004D5E23" w:rsidP="004D5E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D5E23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ar-SA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ar-SA"/>
              </w:rPr>
              <w:t xml:space="preserve">ОФОРМЕННЯ ТА </w:t>
            </w:r>
            <w:r w:rsidRPr="004D5E23">
              <w:rPr>
                <w:rFonts w:ascii="Times New Roman" w:eastAsia="Calibri" w:hAnsi="Times New Roman" w:cs="Times New Roman"/>
                <w:b/>
                <w:sz w:val="18"/>
                <w:szCs w:val="18"/>
                <w:lang w:val="uk-UA" w:eastAsia="ar-SA"/>
              </w:rPr>
              <w:t>ВИДАЧА ДОВІДКИ ПРО РЕЄСТРАЦІЮ МІСЦЯ ПРОЖИВАННЯ/ПЕРЕБУВАННЯ ОСОБИ»</w:t>
            </w:r>
          </w:p>
          <w:p w:rsidR="00DA5162" w:rsidRPr="00910D57" w:rsidRDefault="00DA5162" w:rsidP="00FC508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DA5162" w:rsidRPr="00910D57" w:rsidRDefault="00DA5162" w:rsidP="00FC508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</w:t>
            </w: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  Павлоградського  району</w:t>
            </w:r>
          </w:p>
          <w:p w:rsidR="00DA5162" w:rsidRPr="00910D57" w:rsidRDefault="00DA5162" w:rsidP="00FC5084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DA5162" w:rsidRPr="00910D57" w:rsidTr="00FC5084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5162" w:rsidRPr="00910D57" w:rsidTr="00FC5084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51453 Дніпропетровська область</w:t>
            </w:r>
            <w:r w:rsidR="004044A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Павлоградський  район, </w:t>
            </w:r>
          </w:p>
          <w:p w:rsidR="00DA5162" w:rsidRPr="00910D57" w:rsidRDefault="00DA5162" w:rsidP="00FC5084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DA5162" w:rsidRPr="00910D57" w:rsidTr="00FC5084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DA5162" w:rsidRPr="00910D57" w:rsidTr="00FC5084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910D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A5162" w:rsidRPr="00910D57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910D57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910D5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DA5162" w:rsidRPr="00910D57" w:rsidTr="00FC5084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910D57" w:rsidRDefault="00DA5162" w:rsidP="00FC5084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91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466737" w:rsidRDefault="00DA5162" w:rsidP="00FC5084">
            <w:pPr>
              <w:rPr>
                <w:sz w:val="16"/>
                <w:szCs w:val="16"/>
              </w:rPr>
            </w:pPr>
            <w:r w:rsidRPr="0046673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Закон України «Про свободу пересування та вільний вибір місця проживання в Україні»;</w:t>
            </w:r>
          </w:p>
          <w:p w:rsidR="00DA5162" w:rsidRPr="00466737" w:rsidRDefault="00DA5162" w:rsidP="00FC5084">
            <w:pPr>
              <w:rPr>
                <w:sz w:val="16"/>
                <w:szCs w:val="16"/>
              </w:rPr>
            </w:pPr>
            <w:r w:rsidRPr="0046673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Закон України «Про місцеве самоврядування»;</w:t>
            </w:r>
          </w:p>
          <w:p w:rsidR="00DA5162" w:rsidRPr="00466737" w:rsidRDefault="00DA5162" w:rsidP="00FC5084">
            <w:pPr>
              <w:rPr>
                <w:sz w:val="16"/>
                <w:szCs w:val="16"/>
              </w:rPr>
            </w:pPr>
            <w:r w:rsidRPr="0046673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Закон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послуг»;</w:t>
            </w:r>
          </w:p>
          <w:p w:rsidR="00DA5162" w:rsidRPr="00466737" w:rsidRDefault="00DA5162" w:rsidP="00FC5084">
            <w:pPr>
              <w:rPr>
                <w:sz w:val="16"/>
                <w:szCs w:val="16"/>
              </w:rPr>
            </w:pPr>
            <w:r w:rsidRPr="0046673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Закон України «Про адміністративні послуги».</w:t>
            </w:r>
          </w:p>
          <w:p w:rsidR="00DA5162" w:rsidRPr="00466737" w:rsidRDefault="00DA5162" w:rsidP="00FC5084">
            <w:pPr>
              <w:rPr>
                <w:sz w:val="16"/>
                <w:szCs w:val="16"/>
              </w:rPr>
            </w:pPr>
          </w:p>
        </w:tc>
      </w:tr>
      <w:tr w:rsidR="00DA5162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162" w:rsidRPr="00636088" w:rsidRDefault="00DA5162" w:rsidP="00FC5084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6.Акти центральних органів виконавчої влади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4D5E23" w:rsidRDefault="00A02576" w:rsidP="004D5E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4" w:history="1"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Наказ МВС </w:t>
              </w:r>
              <w:proofErr w:type="spellStart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України</w:t>
              </w:r>
              <w:proofErr w:type="spellEnd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від</w:t>
              </w:r>
              <w:proofErr w:type="spellEnd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 22.11.2012 № 1077"</w:t>
              </w:r>
            </w:hyperlink>
            <w:hyperlink r:id="rId5" w:history="1"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Про </w:t>
              </w:r>
              <w:proofErr w:type="spellStart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затвердження</w:t>
              </w:r>
              <w:proofErr w:type="spellEnd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 Порядку </w:t>
              </w:r>
              <w:proofErr w:type="spellStart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реєстрації</w:t>
              </w:r>
              <w:proofErr w:type="spellEnd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місця</w:t>
              </w:r>
              <w:proofErr w:type="spellEnd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проживання</w:t>
              </w:r>
              <w:proofErr w:type="spellEnd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 та </w:t>
              </w:r>
              <w:proofErr w:type="spellStart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місця</w:t>
              </w:r>
              <w:proofErr w:type="spellEnd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перебування</w:t>
              </w:r>
              <w:proofErr w:type="spellEnd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фізичних</w:t>
              </w:r>
              <w:proofErr w:type="spellEnd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осіб</w:t>
              </w:r>
              <w:proofErr w:type="spellEnd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 в </w:t>
              </w:r>
              <w:proofErr w:type="spellStart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Україні</w:t>
              </w:r>
              <w:proofErr w:type="spellEnd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 та </w:t>
              </w:r>
              <w:proofErr w:type="spellStart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зразків</w:t>
              </w:r>
              <w:proofErr w:type="spellEnd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необхідних</w:t>
              </w:r>
              <w:proofErr w:type="spellEnd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 для </w:t>
              </w:r>
              <w:proofErr w:type="spellStart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цього</w:t>
              </w:r>
              <w:proofErr w:type="spellEnd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 xml:space="preserve"> </w:t>
              </w:r>
              <w:proofErr w:type="spellStart"/>
              <w:r w:rsidR="004D5E23" w:rsidRPr="004D5E23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документів</w:t>
              </w:r>
              <w:proofErr w:type="spellEnd"/>
            </w:hyperlink>
            <w:r w:rsidR="004D5E23" w:rsidRPr="004D5E23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r w:rsidR="004D5E23" w:rsidRPr="004D5E2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(пункт 8.8. Розділу </w:t>
            </w:r>
            <w:r w:rsidR="004D5E23" w:rsidRPr="004D5E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="004D5E23" w:rsidRPr="004D5E2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ІІІ)</w:t>
            </w:r>
            <w:r w:rsidR="004D5E23" w:rsidRPr="004D5E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7.Акти місцевих органів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виконавчої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8.Підстава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4D5E23" w:rsidRDefault="004D5E23" w:rsidP="004D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D5E2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Запит особи, її законного представника, а також іншої особи за умови наявності письмової згоди особи, щодо якої запитується інформація, на надання інформації про неї.</w:t>
            </w:r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9.Вичерпний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4D5E23" w:rsidRDefault="004D5E23" w:rsidP="004D5E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</w:pPr>
            <w:r w:rsidRPr="004D5E23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 xml:space="preserve">Запит особи за зразком, наведеним у додатку 21 до Порядку реєстрації місця проживання та місця перебування фізичних осіб в Україні та зразків необхідних для цього документів, затвердженого наказом МВС від 22.11.2012 № 1077 (заповнюється самою особою, її законним представником або іншою особою). </w:t>
            </w:r>
          </w:p>
          <w:p w:rsidR="004D5E23" w:rsidRPr="004D5E23" w:rsidRDefault="004D5E23" w:rsidP="004D5E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</w:pPr>
            <w:r w:rsidRPr="004D5E23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 xml:space="preserve">Документ,  до  якого </w:t>
            </w:r>
            <w:proofErr w:type="spellStart"/>
            <w:r w:rsidRPr="004D5E23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>внесено</w:t>
            </w:r>
            <w:proofErr w:type="spellEnd"/>
            <w:r w:rsidRPr="004D5E23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 xml:space="preserve"> відомості про місце проживання або місцеперебування особи (паспорт  громадянина </w:t>
            </w:r>
            <w:proofErr w:type="spellStart"/>
            <w:r w:rsidRPr="004D5E23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>України,тимчасове</w:t>
            </w:r>
            <w:proofErr w:type="spellEnd"/>
            <w:r w:rsidRPr="004D5E23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 xml:space="preserve"> посвідчення громадянина України, посвідка на постійне проживання, посвідка на тимчасове проживання, посвідчення </w:t>
            </w:r>
            <w:proofErr w:type="spellStart"/>
            <w:r w:rsidRPr="004D5E23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>біженця,посвідчення</w:t>
            </w:r>
            <w:proofErr w:type="spellEnd"/>
            <w:r w:rsidRPr="004D5E23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 xml:space="preserve">  особи,  яка потребує додаткового захисту, посвідчення особи,  якій надано тимчасовий захист, довідка про звернення за захистом  в  Україні), який повертається після прийняття документів. У разі подання запиту </w:t>
            </w:r>
          </w:p>
          <w:p w:rsidR="004D5E23" w:rsidRPr="004D5E23" w:rsidRDefault="004D5E23" w:rsidP="004D5E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</w:pPr>
            <w:r w:rsidRPr="004D5E23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>законним представником додатково подається: документ, що посвідчує особу законного представника, та документ, що підтверджує повноваження законного представника,</w:t>
            </w:r>
          </w:p>
          <w:p w:rsidR="004D5E23" w:rsidRPr="004D5E23" w:rsidRDefault="004D5E23" w:rsidP="004D5E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</w:pPr>
            <w:r w:rsidRPr="004D5E23">
              <w:rPr>
                <w:rFonts w:ascii="Times New Roman" w:eastAsia="Calibri" w:hAnsi="Times New Roman" w:cs="Times New Roman"/>
                <w:sz w:val="16"/>
                <w:szCs w:val="16"/>
                <w:lang w:val="uk-UA" w:eastAsia="ar-SA"/>
              </w:rPr>
              <w:t>іншою особою - письмову  згоду особи, щодо якої запитується інформація, на надання інформації про неї</w:t>
            </w:r>
          </w:p>
          <w:p w:rsidR="004D5E23" w:rsidRPr="004D5E23" w:rsidRDefault="004D5E23" w:rsidP="004D5E23">
            <w:pPr>
              <w:pStyle w:val="rvps2"/>
              <w:shd w:val="clear" w:color="auto" w:fill="FFFFFF"/>
              <w:spacing w:before="0" w:after="0"/>
              <w:ind w:firstLine="240"/>
              <w:jc w:val="both"/>
              <w:textAlignment w:val="baseline"/>
              <w:rPr>
                <w:sz w:val="16"/>
                <w:szCs w:val="16"/>
                <w:lang w:val="uk-UA"/>
              </w:rPr>
            </w:pPr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10.Порядок та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4D5E23" w:rsidRDefault="004D5E23" w:rsidP="004D5E2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D5E23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до центру надання адміністративних послуг</w:t>
            </w:r>
            <w:r w:rsidRPr="004D5E23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6"/>
                <w:lang w:val="uk-UA"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6"/>
                <w:lang w:val="uk-UA" w:eastAsia="zh-CN"/>
              </w:rPr>
              <w:t>особисто або за довіреністю</w:t>
            </w:r>
          </w:p>
          <w:p w:rsidR="004D5E23" w:rsidRPr="00636088" w:rsidRDefault="004D5E23" w:rsidP="004D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673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11.Платність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безкоштовно</w:t>
            </w:r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11.1Нормативно-правові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11.2.Розмір та порядок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11.3.Розрахунковий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12.Строк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4D5E23" w:rsidRDefault="004D5E23" w:rsidP="004D5E23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D5E2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</w:t>
            </w:r>
            <w:proofErr w:type="spellStart"/>
            <w:r w:rsidRPr="004D5E23">
              <w:rPr>
                <w:rFonts w:ascii="Times New Roman" w:hAnsi="Times New Roman" w:cs="Times New Roman"/>
                <w:sz w:val="16"/>
                <w:szCs w:val="16"/>
              </w:rPr>
              <w:t>ротягом</w:t>
            </w:r>
            <w:proofErr w:type="spellEnd"/>
            <w:r w:rsidRPr="004D5E2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D5E23">
              <w:rPr>
                <w:rFonts w:ascii="Times New Roman" w:hAnsi="Times New Roman" w:cs="Times New Roman"/>
                <w:sz w:val="16"/>
                <w:szCs w:val="16"/>
              </w:rPr>
              <w:t>тридцяти</w:t>
            </w:r>
            <w:proofErr w:type="spellEnd"/>
            <w:r w:rsidRPr="004D5E2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D5E23">
              <w:rPr>
                <w:rFonts w:ascii="Times New Roman" w:hAnsi="Times New Roman" w:cs="Times New Roman"/>
                <w:sz w:val="16"/>
                <w:szCs w:val="16"/>
              </w:rPr>
              <w:t>календарних</w:t>
            </w:r>
            <w:proofErr w:type="spellEnd"/>
            <w:r w:rsidRPr="004D5E2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D5E23">
              <w:rPr>
                <w:rFonts w:ascii="Times New Roman" w:hAnsi="Times New Roman" w:cs="Times New Roman"/>
                <w:sz w:val="16"/>
                <w:szCs w:val="16"/>
              </w:rPr>
              <w:t>днів</w:t>
            </w:r>
            <w:proofErr w:type="spellEnd"/>
            <w:r w:rsidRPr="004D5E23">
              <w:rPr>
                <w:rFonts w:ascii="Times New Roman" w:hAnsi="Times New Roman" w:cs="Times New Roman"/>
                <w:sz w:val="16"/>
                <w:szCs w:val="16"/>
              </w:rPr>
              <w:t xml:space="preserve"> з дня </w:t>
            </w:r>
            <w:proofErr w:type="spellStart"/>
            <w:r w:rsidRPr="004D5E23">
              <w:rPr>
                <w:rFonts w:ascii="Times New Roman" w:hAnsi="Times New Roman" w:cs="Times New Roman"/>
                <w:sz w:val="16"/>
                <w:szCs w:val="16"/>
              </w:rPr>
              <w:t>надходження</w:t>
            </w:r>
            <w:proofErr w:type="spellEnd"/>
            <w:r w:rsidRPr="004D5E2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запиту</w:t>
            </w:r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13.Перелік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4D5E23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D5E2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Особі  може бути тимчасово відмовлено у разі, якщо не  надано всі необхідні документи для отримання довідки про реєстрацію місця проживання/місця перебування</w:t>
            </w:r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14.Результат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F3524C" w:rsidRDefault="00F3524C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F3524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Видача довідки про реєстрацію місця проживання/місця перебування</w:t>
            </w:r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15.Способи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466737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466737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Особисто / за довіреністю</w:t>
            </w:r>
          </w:p>
        </w:tc>
      </w:tr>
      <w:tr w:rsidR="004D5E23" w:rsidRPr="00636088" w:rsidTr="00FC5084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360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16.Примітка 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E23" w:rsidRPr="00636088" w:rsidRDefault="004D5E23" w:rsidP="004D5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DA5162" w:rsidRPr="00636088" w:rsidRDefault="00DA5162" w:rsidP="00DA5162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DA5162" w:rsidRPr="008222BE" w:rsidRDefault="00DA5162" w:rsidP="00DA516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16"/>
          <w:szCs w:val="16"/>
          <w:lang w:val="uk-UA" w:eastAsia="ru-RU"/>
        </w:rPr>
      </w:pPr>
      <w:r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proofErr w:type="spellStart"/>
      <w:r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Вербківської</w:t>
      </w:r>
      <w:proofErr w:type="spellEnd"/>
      <w:r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</w:t>
      </w:r>
      <w:r w:rsidRPr="00910D5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</w:t>
      </w:r>
      <w:r w:rsidRPr="00910D5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  <w:t>Л.М. Коломієць</w:t>
      </w:r>
    </w:p>
    <w:p w:rsidR="00DA5162" w:rsidRDefault="00DA5162" w:rsidP="00DA516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C7842" w:rsidRDefault="00DA5162" w:rsidP="00DA5162">
      <w:r w:rsidRPr="00BE65D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</w:t>
      </w:r>
      <w:r w:rsidRPr="00BE65D7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</w:t>
      </w:r>
    </w:p>
    <w:sectPr w:rsidR="009C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62"/>
    <w:rsid w:val="004044AB"/>
    <w:rsid w:val="004D5E23"/>
    <w:rsid w:val="00636047"/>
    <w:rsid w:val="009C7842"/>
    <w:rsid w:val="00A02576"/>
    <w:rsid w:val="00DA5162"/>
    <w:rsid w:val="00F3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85AF"/>
  <w15:chartTrackingRefBased/>
  <w15:docId w15:val="{8137D931-49D9-4503-A560-81458B2E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A5162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styleId="a3">
    <w:name w:val="Hyperlink"/>
    <w:rsid w:val="004D5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z2109-12" TargetMode="External"/><Relationship Id="rId4" Type="http://schemas.openxmlformats.org/officeDocument/2006/relationships/hyperlink" Target="http://zakon2.rada.gov.ua/laws/show/z2109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2017-08-10T11:57:00Z</dcterms:created>
  <dcterms:modified xsi:type="dcterms:W3CDTF">2018-09-28T11:17:00Z</dcterms:modified>
</cp:coreProperties>
</file>